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32F3B0" w14:textId="44BF9871" w:rsidR="004B7DF8" w:rsidRDefault="004B7DF8" w:rsidP="004B7DF8">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w:t>
      </w:r>
      <w:r w:rsidR="00130626">
        <w:rPr>
          <w:rFonts w:ascii="Arial" w:hAnsi="Arial" w:cs="Arial"/>
          <w:b/>
          <w:bCs/>
        </w:rPr>
        <w:t>3</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440F6E">
        <w:rPr>
          <w:rFonts w:ascii="Arial" w:hAnsi="Arial" w:cs="Arial"/>
          <w:b/>
          <w:bCs/>
        </w:rPr>
        <w:t>8468</w:t>
      </w:r>
    </w:p>
    <w:p w14:paraId="0CBB7371" w14:textId="7E7F047F" w:rsidR="004B7DF8" w:rsidRPr="00210D4C" w:rsidRDefault="004B7DF8" w:rsidP="004B7DF8">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130626">
        <w:rPr>
          <w:rFonts w:ascii="Arial" w:eastAsia="MS Mincho" w:hAnsi="Arial" w:cs="Arial"/>
          <w:b/>
          <w:bCs/>
          <w:lang w:eastAsia="ja-JP"/>
        </w:rPr>
        <w:t>October</w:t>
      </w:r>
      <w:r>
        <w:rPr>
          <w:rFonts w:ascii="Arial" w:eastAsia="MS Mincho" w:hAnsi="Arial" w:cs="Arial"/>
          <w:b/>
          <w:bCs/>
          <w:lang w:eastAsia="ja-JP"/>
        </w:rPr>
        <w:t xml:space="preserve"> </w:t>
      </w:r>
      <w:r w:rsidR="00130626">
        <w:rPr>
          <w:rFonts w:ascii="Arial" w:eastAsia="MS Mincho" w:hAnsi="Arial" w:cs="Arial"/>
          <w:b/>
          <w:bCs/>
          <w:lang w:eastAsia="ja-JP"/>
        </w:rPr>
        <w:t>26</w:t>
      </w:r>
      <w:r w:rsidRPr="00133AE5">
        <w:rPr>
          <w:rFonts w:ascii="Arial" w:eastAsia="MS Mincho" w:hAnsi="Arial" w:cs="Arial"/>
          <w:b/>
          <w:bCs/>
          <w:vertAlign w:val="superscript"/>
          <w:lang w:eastAsia="ja-JP"/>
        </w:rPr>
        <w:t>th</w:t>
      </w:r>
      <w:r>
        <w:rPr>
          <w:rFonts w:ascii="Arial" w:eastAsia="MS Mincho" w:hAnsi="Arial" w:cs="Arial"/>
          <w:b/>
          <w:bCs/>
          <w:lang w:eastAsia="ja-JP"/>
        </w:rPr>
        <w:t xml:space="preserve"> </w:t>
      </w:r>
      <w:r w:rsidRPr="00435F1E">
        <w:rPr>
          <w:rFonts w:ascii="Arial" w:eastAsia="MS Mincho" w:hAnsi="Arial" w:cs="Arial"/>
          <w:b/>
          <w:bCs/>
          <w:lang w:eastAsia="ja-JP"/>
        </w:rPr>
        <w:t>–</w:t>
      </w:r>
      <w:r>
        <w:rPr>
          <w:rFonts w:ascii="Arial" w:eastAsia="MS Mincho" w:hAnsi="Arial" w:cs="Arial"/>
          <w:b/>
          <w:bCs/>
          <w:lang w:eastAsia="ja-JP"/>
        </w:rPr>
        <w:t xml:space="preserve"> </w:t>
      </w:r>
      <w:r w:rsidR="00130626">
        <w:rPr>
          <w:rFonts w:ascii="Arial" w:eastAsia="MS Mincho" w:hAnsi="Arial" w:cs="Arial"/>
          <w:b/>
          <w:bCs/>
          <w:lang w:eastAsia="ja-JP"/>
        </w:rPr>
        <w:t>November 13</w:t>
      </w:r>
      <w:r w:rsidRPr="00133AE5">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0E3D3DD1" w:rsidR="00E90E49" w:rsidRPr="00764EBC" w:rsidRDefault="00E90E49" w:rsidP="00311702">
      <w:pPr>
        <w:pStyle w:val="3GPPHeader"/>
      </w:pPr>
      <w:r w:rsidRPr="00764EBC">
        <w:t>Agenda Item:</w:t>
      </w:r>
      <w:r w:rsidRPr="00764EBC">
        <w:tab/>
      </w:r>
      <w:r w:rsidR="004063E9">
        <w:t>8</w:t>
      </w:r>
      <w:r w:rsidR="0059035F">
        <w:t>.</w:t>
      </w:r>
      <w:r w:rsidR="004B7DF8">
        <w:t>4.</w:t>
      </w:r>
      <w:r w:rsidR="00D77029">
        <w:t>4</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66DA4888" w:rsidR="00531215" w:rsidRPr="00764EBC" w:rsidRDefault="003D3C45" w:rsidP="00311702">
      <w:pPr>
        <w:pStyle w:val="3GPPHeader"/>
      </w:pPr>
      <w:r w:rsidRPr="00764EBC">
        <w:t>Title:</w:t>
      </w:r>
      <w:r w:rsidR="00E90E49" w:rsidRPr="00764EBC">
        <w:tab/>
      </w:r>
      <w:r w:rsidR="00D77029">
        <w:t>Other Aspects of NR</w:t>
      </w:r>
      <w:r w:rsidR="004063E9">
        <w:t xml:space="preserve"> 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20E4FA85" w14:textId="77777777" w:rsidR="00395FA6" w:rsidRDefault="00395FA6" w:rsidP="0099637F">
      <w:pPr>
        <w:jc w:val="both"/>
      </w:pPr>
      <w:r>
        <w:t xml:space="preserve">According to NR NTN work item description </w:t>
      </w:r>
      <w:r>
        <w:fldChar w:fldCharType="begin"/>
      </w:r>
      <w:r>
        <w:instrText xml:space="preserve"> REF _Ref46861923 \r \h </w:instrText>
      </w:r>
      <w:r>
        <w:fldChar w:fldCharType="separate"/>
      </w:r>
      <w:r>
        <w:t>[1]</w:t>
      </w:r>
      <w:r>
        <w:fldChar w:fldCharType="end"/>
      </w:r>
      <w:r>
        <w:t xml:space="preserve">, a list of RAN1 topics are to be specified if beneficial and needed. This includes enhancement on PRACH sequence and/or format, feeder link switch, beam management and BWP operation for NTN with frequency reuse. </w:t>
      </w:r>
    </w:p>
    <w:p w14:paraId="37BB5C96" w14:textId="77777777" w:rsidR="00395FA6" w:rsidRDefault="00395FA6" w:rsidP="0099637F">
      <w:pPr>
        <w:jc w:val="both"/>
      </w:pPr>
    </w:p>
    <w:p w14:paraId="272AE2DD" w14:textId="4F0EC0C8" w:rsidR="0099637F" w:rsidRDefault="00395FA6" w:rsidP="0099637F">
      <w:pPr>
        <w:jc w:val="both"/>
      </w:pPr>
      <w:r>
        <w:t xml:space="preserve">The discussions on these topics in RAN1 #102-e meeting were summarized in </w:t>
      </w:r>
      <w:r w:rsidR="0099637F">
        <w:fldChar w:fldCharType="begin"/>
      </w:r>
      <w:r w:rsidR="0099637F">
        <w:instrText xml:space="preserve"> REF _Ref49784839 \r \h </w:instrText>
      </w:r>
      <w:r w:rsidR="0099637F">
        <w:fldChar w:fldCharType="separate"/>
      </w:r>
      <w:r w:rsidR="0099637F">
        <w:t>[2]</w:t>
      </w:r>
      <w:r w:rsidR="0099637F">
        <w:fldChar w:fldCharType="end"/>
      </w:r>
      <w:r>
        <w:t>, and th</w:t>
      </w:r>
      <w:r w:rsidR="0099637F">
        <w:t xml:space="preserve">e following agreements have been made in RAN1 </w:t>
      </w:r>
      <w:r>
        <w:t xml:space="preserve">#102-e </w:t>
      </w:r>
      <w:r w:rsidR="0099637F">
        <w:t xml:space="preserve">meeting </w:t>
      </w:r>
      <w:r w:rsidR="0099637F">
        <w:fldChar w:fldCharType="begin"/>
      </w:r>
      <w:r w:rsidR="0099637F">
        <w:instrText xml:space="preserve"> REF _Ref49784738 \r \h </w:instrText>
      </w:r>
      <w:r w:rsidR="0099637F">
        <w:fldChar w:fldCharType="separate"/>
      </w:r>
      <w:r w:rsidR="0099637F">
        <w:t>[3]</w:t>
      </w:r>
      <w:r w:rsidR="0099637F">
        <w:fldChar w:fldCharType="end"/>
      </w:r>
      <w:r>
        <w:t xml:space="preserve">. </w:t>
      </w:r>
    </w:p>
    <w:p w14:paraId="58B4B259" w14:textId="77777777" w:rsidR="0099637F" w:rsidRDefault="0099637F" w:rsidP="00B42AE4">
      <w:pPr>
        <w:jc w:val="both"/>
      </w:pPr>
    </w:p>
    <w:p w14:paraId="73CE6E6D" w14:textId="77777777" w:rsidR="00865AA2" w:rsidRDefault="00865AA2" w:rsidP="00865AA2">
      <w:pPr>
        <w:rPr>
          <w:lang w:eastAsia="x-none"/>
        </w:rPr>
      </w:pPr>
      <w:r>
        <w:rPr>
          <w:highlight w:val="green"/>
          <w:lang w:eastAsia="x-none"/>
        </w:rPr>
        <w:t>Agreement:</w:t>
      </w:r>
    </w:p>
    <w:p w14:paraId="516F48E1" w14:textId="77777777" w:rsidR="00865AA2" w:rsidRDefault="00865AA2" w:rsidP="00865AA2">
      <w:pPr>
        <w:rPr>
          <w:lang w:eastAsia="x-none"/>
        </w:rPr>
      </w:pPr>
      <w:r>
        <w:rPr>
          <w:lang w:eastAsia="x-none"/>
        </w:rPr>
        <w:t>One-beam per cell and multiple-beam per cell are supported in existing NR specifications and are baseline for NR NTN.</w:t>
      </w:r>
    </w:p>
    <w:p w14:paraId="354BAE30" w14:textId="77777777" w:rsidR="00865AA2" w:rsidRDefault="00865AA2" w:rsidP="00865AA2">
      <w:pPr>
        <w:numPr>
          <w:ilvl w:val="0"/>
          <w:numId w:val="25"/>
        </w:numPr>
        <w:rPr>
          <w:lang w:eastAsia="x-none"/>
        </w:rPr>
      </w:pPr>
      <w:r>
        <w:rPr>
          <w:lang w:eastAsia="x-none"/>
        </w:rPr>
        <w:t xml:space="preserve">FFS: The need for potential enhancement for beam management </w:t>
      </w:r>
    </w:p>
    <w:p w14:paraId="33664819" w14:textId="77777777" w:rsidR="00865AA2" w:rsidRDefault="00865AA2" w:rsidP="00865AA2">
      <w:pPr>
        <w:numPr>
          <w:ilvl w:val="0"/>
          <w:numId w:val="25"/>
        </w:numPr>
        <w:rPr>
          <w:lang w:eastAsia="x-none"/>
        </w:rPr>
      </w:pPr>
      <w:r>
        <w:rPr>
          <w:lang w:eastAsia="x-none"/>
        </w:rPr>
        <w:t>FFS: The need for potential enhancement on association of SSBs, beams and BWPs</w:t>
      </w:r>
    </w:p>
    <w:p w14:paraId="75E8A6B1" w14:textId="77777777" w:rsidR="00865AA2" w:rsidRDefault="00865AA2" w:rsidP="00865AA2">
      <w:pPr>
        <w:rPr>
          <w:lang w:eastAsia="x-none"/>
        </w:rPr>
      </w:pPr>
    </w:p>
    <w:p w14:paraId="794FDCAB" w14:textId="77777777" w:rsidR="00865AA2" w:rsidRDefault="00865AA2" w:rsidP="00865AA2">
      <w:pPr>
        <w:rPr>
          <w:lang w:eastAsia="x-none"/>
        </w:rPr>
      </w:pPr>
      <w:r>
        <w:rPr>
          <w:highlight w:val="green"/>
          <w:lang w:eastAsia="x-none"/>
        </w:rPr>
        <w:t>Agreement:</w:t>
      </w:r>
    </w:p>
    <w:p w14:paraId="07D17C71" w14:textId="77777777" w:rsidR="00865AA2" w:rsidRDefault="00865AA2" w:rsidP="00865AA2">
      <w:pPr>
        <w:rPr>
          <w:bCs/>
          <w:iCs/>
          <w:lang w:eastAsia="x-none"/>
        </w:rPr>
      </w:pPr>
      <w:r>
        <w:rPr>
          <w:bCs/>
          <w:iCs/>
          <w:lang w:eastAsia="x-none"/>
        </w:rPr>
        <w:t xml:space="preserve">Potential enhancements for support of </w:t>
      </w:r>
      <w:proofErr w:type="spellStart"/>
      <w:r>
        <w:rPr>
          <w:bCs/>
          <w:iCs/>
          <w:lang w:eastAsia="x-none"/>
        </w:rPr>
        <w:t>polarisation</w:t>
      </w:r>
      <w:proofErr w:type="spellEnd"/>
      <w:r>
        <w:rPr>
          <w:bCs/>
          <w:iCs/>
          <w:lang w:eastAsia="x-none"/>
        </w:rPr>
        <w:t xml:space="preserve"> </w:t>
      </w:r>
      <w:proofErr w:type="spellStart"/>
      <w:r>
        <w:rPr>
          <w:bCs/>
          <w:iCs/>
          <w:lang w:eastAsia="x-none"/>
        </w:rPr>
        <w:t>signalling</w:t>
      </w:r>
      <w:proofErr w:type="spellEnd"/>
      <w:r>
        <w:rPr>
          <w:bCs/>
          <w:iCs/>
          <w:lang w:eastAsia="x-none"/>
        </w:rPr>
        <w:t xml:space="preserve"> in NR NTN can consider at least the following:</w:t>
      </w:r>
    </w:p>
    <w:p w14:paraId="0A9FB952" w14:textId="77777777" w:rsidR="00865AA2" w:rsidRDefault="00865AA2" w:rsidP="00865AA2">
      <w:pPr>
        <w:numPr>
          <w:ilvl w:val="0"/>
          <w:numId w:val="26"/>
        </w:numPr>
        <w:rPr>
          <w:bCs/>
          <w:iCs/>
          <w:lang w:eastAsia="x-none"/>
        </w:rPr>
      </w:pPr>
      <w:r>
        <w:rPr>
          <w:bCs/>
          <w:iCs/>
          <w:lang w:eastAsia="x-none"/>
        </w:rPr>
        <w:t xml:space="preserve">Configuration of DL and UL transmit polarization including Right hand and </w:t>
      </w:r>
      <w:proofErr w:type="gramStart"/>
      <w:r>
        <w:rPr>
          <w:bCs/>
          <w:iCs/>
          <w:lang w:eastAsia="x-none"/>
        </w:rPr>
        <w:t>Left hand</w:t>
      </w:r>
      <w:proofErr w:type="gramEnd"/>
      <w:r>
        <w:rPr>
          <w:bCs/>
          <w:iCs/>
          <w:lang w:eastAsia="x-none"/>
        </w:rPr>
        <w:t xml:space="preserve"> circular polarizations (RHCP, LHCP) </w:t>
      </w:r>
    </w:p>
    <w:p w14:paraId="2C953018" w14:textId="77777777" w:rsidR="00865AA2" w:rsidRDefault="00865AA2" w:rsidP="00865AA2">
      <w:pPr>
        <w:numPr>
          <w:ilvl w:val="0"/>
          <w:numId w:val="26"/>
        </w:numPr>
        <w:rPr>
          <w:bCs/>
          <w:iCs/>
          <w:lang w:eastAsia="x-none"/>
        </w:rPr>
      </w:pPr>
      <w:r>
        <w:rPr>
          <w:bCs/>
          <w:iCs/>
          <w:lang w:eastAsia="x-none"/>
        </w:rPr>
        <w:t xml:space="preserve">Network broadcast DL and UL transmit polarization configuration  </w:t>
      </w:r>
    </w:p>
    <w:p w14:paraId="7262D01F" w14:textId="77777777" w:rsidR="00865AA2" w:rsidRDefault="00865AA2" w:rsidP="00865AA2">
      <w:pPr>
        <w:numPr>
          <w:ilvl w:val="0"/>
          <w:numId w:val="26"/>
        </w:numPr>
        <w:rPr>
          <w:bCs/>
          <w:iCs/>
          <w:lang w:eastAsia="x-none"/>
        </w:rPr>
      </w:pPr>
      <w:r>
        <w:rPr>
          <w:bCs/>
          <w:iCs/>
          <w:lang w:eastAsia="x-none"/>
        </w:rPr>
        <w:t>UE polarization capability (RHCP, LHCP, Linear)</w:t>
      </w:r>
    </w:p>
    <w:p w14:paraId="53D7396F" w14:textId="77777777" w:rsidR="00865AA2" w:rsidRDefault="00865AA2" w:rsidP="00865AA2">
      <w:pPr>
        <w:numPr>
          <w:ilvl w:val="0"/>
          <w:numId w:val="26"/>
        </w:numPr>
        <w:rPr>
          <w:bCs/>
          <w:iCs/>
          <w:lang w:eastAsia="x-none"/>
        </w:rPr>
      </w:pPr>
      <w:r>
        <w:rPr>
          <w:bCs/>
          <w:iCs/>
          <w:lang w:eastAsia="x-none"/>
        </w:rPr>
        <w:t xml:space="preserve">Dependence of </w:t>
      </w:r>
      <w:proofErr w:type="spellStart"/>
      <w:r>
        <w:rPr>
          <w:bCs/>
          <w:iCs/>
          <w:lang w:eastAsia="x-none"/>
        </w:rPr>
        <w:t>polarisation</w:t>
      </w:r>
      <w:proofErr w:type="spellEnd"/>
      <w:r>
        <w:rPr>
          <w:bCs/>
          <w:iCs/>
          <w:lang w:eastAsia="x-none"/>
        </w:rPr>
        <w:t xml:space="preserve"> signaling on deployment scenarios. For example,</w:t>
      </w:r>
    </w:p>
    <w:p w14:paraId="02C3410D" w14:textId="77777777" w:rsidR="00865AA2" w:rsidRDefault="00865AA2" w:rsidP="00865AA2">
      <w:pPr>
        <w:numPr>
          <w:ilvl w:val="1"/>
          <w:numId w:val="26"/>
        </w:numPr>
        <w:rPr>
          <w:bCs/>
          <w:iCs/>
          <w:lang w:eastAsia="x-none"/>
        </w:rPr>
      </w:pPr>
      <w:r>
        <w:rPr>
          <w:bCs/>
          <w:iCs/>
          <w:lang w:eastAsia="x-none"/>
        </w:rPr>
        <w:t xml:space="preserve">Resource reuse mode with/without polarization for the beam management enhancement </w:t>
      </w:r>
    </w:p>
    <w:p w14:paraId="17A34E84" w14:textId="77777777" w:rsidR="00865AA2" w:rsidRDefault="00865AA2" w:rsidP="00865AA2">
      <w:pPr>
        <w:numPr>
          <w:ilvl w:val="1"/>
          <w:numId w:val="26"/>
        </w:numPr>
        <w:rPr>
          <w:bCs/>
          <w:iCs/>
          <w:lang w:eastAsia="x-none"/>
        </w:rPr>
      </w:pPr>
      <w:r>
        <w:rPr>
          <w:bCs/>
          <w:iCs/>
          <w:lang w:eastAsia="x-none"/>
        </w:rPr>
        <w:t xml:space="preserve">Fixed polarization per cell/beam for polarization reuse and circular </w:t>
      </w:r>
      <w:proofErr w:type="spellStart"/>
      <w:r>
        <w:rPr>
          <w:bCs/>
          <w:iCs/>
          <w:lang w:eastAsia="x-none"/>
        </w:rPr>
        <w:t>polarisation</w:t>
      </w:r>
      <w:proofErr w:type="spellEnd"/>
      <w:r>
        <w:rPr>
          <w:bCs/>
          <w:iCs/>
          <w:lang w:eastAsia="x-none"/>
        </w:rPr>
        <w:t xml:space="preserve"> with intra-UE and inter-UE multiplexing (intra-UE and inter-UE) </w:t>
      </w:r>
      <w:proofErr w:type="spellStart"/>
      <w:r>
        <w:rPr>
          <w:bCs/>
          <w:iCs/>
          <w:lang w:eastAsia="x-none"/>
        </w:rPr>
        <w:t>signalling</w:t>
      </w:r>
      <w:proofErr w:type="spellEnd"/>
      <w:r>
        <w:rPr>
          <w:bCs/>
          <w:iCs/>
          <w:lang w:eastAsia="x-none"/>
        </w:rPr>
        <w:t xml:space="preserve"> </w:t>
      </w:r>
    </w:p>
    <w:p w14:paraId="30672A21" w14:textId="77777777" w:rsidR="00EC0D2F" w:rsidRPr="00E75532" w:rsidRDefault="00EC0D2F" w:rsidP="00416D56">
      <w:pPr>
        <w:jc w:val="both"/>
        <w:rPr>
          <w:szCs w:val="20"/>
        </w:rPr>
      </w:pPr>
    </w:p>
    <w:p w14:paraId="05E5CF06" w14:textId="6FC8EFAF" w:rsidR="001E7281" w:rsidRPr="009C0798" w:rsidRDefault="00EC0D2F" w:rsidP="009C0798">
      <w:pPr>
        <w:spacing w:after="180"/>
        <w:contextualSpacing/>
        <w:jc w:val="both"/>
        <w:rPr>
          <w:szCs w:val="20"/>
        </w:rPr>
      </w:pPr>
      <w:r>
        <w:rPr>
          <w:szCs w:val="20"/>
        </w:rPr>
        <w:t xml:space="preserve">In this contribution, we </w:t>
      </w:r>
      <w:r w:rsidR="009C0798">
        <w:rPr>
          <w:szCs w:val="20"/>
        </w:rPr>
        <w:t>provide our views on</w:t>
      </w:r>
      <w:r w:rsidR="0099637F">
        <w:rPr>
          <w:szCs w:val="20"/>
        </w:rPr>
        <w:t xml:space="preserve"> </w:t>
      </w:r>
      <w:r w:rsidR="004544A0">
        <w:rPr>
          <w:szCs w:val="20"/>
        </w:rPr>
        <w:t>the association of SSBs, beams and BWPs</w:t>
      </w:r>
      <w:r>
        <w:rPr>
          <w:szCs w:val="20"/>
        </w:rPr>
        <w:t>.</w:t>
      </w:r>
    </w:p>
    <w:p w14:paraId="407F451F" w14:textId="4770A02B" w:rsidR="00416D56" w:rsidRDefault="00EA5A5B" w:rsidP="00416D56">
      <w:pPr>
        <w:pStyle w:val="Heading1"/>
      </w:pPr>
      <w:r>
        <w:t>Discussion</w:t>
      </w:r>
    </w:p>
    <w:p w14:paraId="3E8632A8" w14:textId="0A18105B" w:rsidR="00ED1185" w:rsidRDefault="00ED1185" w:rsidP="009970CC">
      <w:pPr>
        <w:jc w:val="both"/>
        <w:rPr>
          <w:bCs/>
          <w:iCs/>
        </w:rPr>
      </w:pPr>
      <w:r>
        <w:rPr>
          <w:bCs/>
          <w:iCs/>
        </w:rPr>
        <w:t xml:space="preserve">It was agreed </w:t>
      </w:r>
      <w:r>
        <w:rPr>
          <w:bCs/>
          <w:iCs/>
        </w:rPr>
        <w:fldChar w:fldCharType="begin"/>
      </w:r>
      <w:r>
        <w:rPr>
          <w:bCs/>
          <w:iCs/>
        </w:rPr>
        <w:instrText xml:space="preserve"> REF _Ref49784738 \r \h </w:instrText>
      </w:r>
      <w:r>
        <w:rPr>
          <w:bCs/>
          <w:iCs/>
        </w:rPr>
      </w:r>
      <w:r>
        <w:rPr>
          <w:bCs/>
          <w:iCs/>
        </w:rPr>
        <w:fldChar w:fldCharType="separate"/>
      </w:r>
      <w:r>
        <w:rPr>
          <w:bCs/>
          <w:iCs/>
        </w:rPr>
        <w:t>[3]</w:t>
      </w:r>
      <w:r>
        <w:rPr>
          <w:bCs/>
          <w:iCs/>
        </w:rPr>
        <w:fldChar w:fldCharType="end"/>
      </w:r>
      <w:r>
        <w:rPr>
          <w:bCs/>
          <w:iCs/>
        </w:rPr>
        <w:t xml:space="preserve"> that both one-beam per cell and multiple beam per cell are supported in NTN, with the existing NR specifications as a baseline. One open question is the potential enhancement on association of SSBs, beams and BWPs.</w:t>
      </w:r>
    </w:p>
    <w:p w14:paraId="13E7BB2C" w14:textId="77777777" w:rsidR="00ED1185" w:rsidRDefault="00ED1185" w:rsidP="009970CC">
      <w:pPr>
        <w:jc w:val="both"/>
        <w:rPr>
          <w:bCs/>
          <w:iCs/>
        </w:rPr>
      </w:pPr>
    </w:p>
    <w:p w14:paraId="59562AA8" w14:textId="5111AFDC" w:rsidR="00926602" w:rsidRDefault="00926602" w:rsidP="009970CC">
      <w:pPr>
        <w:jc w:val="both"/>
        <w:rPr>
          <w:bCs/>
          <w:iCs/>
        </w:rPr>
      </w:pPr>
      <w:r w:rsidRPr="00926602">
        <w:rPr>
          <w:bCs/>
          <w:iCs/>
        </w:rPr>
        <w:t>In</w:t>
      </w:r>
      <w:r>
        <w:rPr>
          <w:bCs/>
          <w:iCs/>
        </w:rPr>
        <w:t xml:space="preserve"> </w:t>
      </w:r>
      <w:r w:rsidR="00ED1185">
        <w:rPr>
          <w:bCs/>
          <w:iCs/>
        </w:rPr>
        <w:t xml:space="preserve">the </w:t>
      </w:r>
      <w:proofErr w:type="gramStart"/>
      <w:r>
        <w:rPr>
          <w:bCs/>
          <w:iCs/>
        </w:rPr>
        <w:t>multiple-beam</w:t>
      </w:r>
      <w:proofErr w:type="gramEnd"/>
      <w:r>
        <w:rPr>
          <w:bCs/>
          <w:iCs/>
        </w:rPr>
        <w:t xml:space="preserve"> per cell scenario, the frequency reuse can be achieved by associating each satellite beam with a BWP. </w:t>
      </w:r>
    </w:p>
    <w:p w14:paraId="363D1525" w14:textId="77777777" w:rsidR="00926602" w:rsidRPr="00926602" w:rsidRDefault="00926602" w:rsidP="009970CC">
      <w:pPr>
        <w:jc w:val="both"/>
        <w:rPr>
          <w:bCs/>
          <w:iCs/>
        </w:rPr>
      </w:pPr>
    </w:p>
    <w:p w14:paraId="37325B60" w14:textId="6897A570" w:rsidR="00D13F00" w:rsidRPr="00D13F00" w:rsidRDefault="009C0798" w:rsidP="009970CC">
      <w:pPr>
        <w:jc w:val="both"/>
        <w:rPr>
          <w:i/>
        </w:rPr>
      </w:pPr>
      <w:r w:rsidRPr="001C381A">
        <w:rPr>
          <w:b/>
          <w:i/>
          <w:u w:val="single"/>
        </w:rPr>
        <w:t xml:space="preserve">Proposal </w:t>
      </w:r>
      <w:r>
        <w:rPr>
          <w:b/>
          <w:i/>
          <w:u w:val="single"/>
        </w:rPr>
        <w:t>1</w:t>
      </w:r>
      <w:r w:rsidRPr="001C381A">
        <w:rPr>
          <w:b/>
          <w:i/>
          <w:u w:val="single"/>
        </w:rPr>
        <w:t>:</w:t>
      </w:r>
      <w:r>
        <w:rPr>
          <w:i/>
        </w:rPr>
        <w:t xml:space="preserve"> </w:t>
      </w:r>
      <w:r w:rsidR="00ED1185">
        <w:rPr>
          <w:i/>
        </w:rPr>
        <w:t>Each</w:t>
      </w:r>
      <w:r w:rsidR="00926602">
        <w:rPr>
          <w:i/>
        </w:rPr>
        <w:t xml:space="preserve"> satellite beam is associated with a BWP</w:t>
      </w:r>
      <w:r w:rsidR="00442B6F">
        <w:rPr>
          <w:i/>
        </w:rPr>
        <w:t xml:space="preserve"> to achieve frequency reuse</w:t>
      </w:r>
      <w:r w:rsidR="00926602">
        <w:rPr>
          <w:i/>
        </w:rPr>
        <w:t>.</w:t>
      </w:r>
    </w:p>
    <w:p w14:paraId="649FA054" w14:textId="297A8B3A" w:rsidR="00D13F00" w:rsidRDefault="00D13F00" w:rsidP="009970CC">
      <w:pPr>
        <w:jc w:val="both"/>
      </w:pPr>
    </w:p>
    <w:p w14:paraId="78E5D124" w14:textId="2FA7E865" w:rsidR="00D13F00" w:rsidRDefault="00D13F00" w:rsidP="009970CC">
      <w:pPr>
        <w:jc w:val="both"/>
      </w:pPr>
      <w:r>
        <w:t>Two alternative SSB arrangements were discussed in RAN1 #102 meeting</w:t>
      </w:r>
      <w:r w:rsidR="00395FA6">
        <w:t xml:space="preserve"> </w:t>
      </w:r>
      <w:r w:rsidR="00395FA6">
        <w:fldChar w:fldCharType="begin"/>
      </w:r>
      <w:r w:rsidR="00395FA6">
        <w:instrText xml:space="preserve"> REF _Ref49784839 \r \h </w:instrText>
      </w:r>
      <w:r w:rsidR="00395FA6">
        <w:fldChar w:fldCharType="separate"/>
      </w:r>
      <w:r w:rsidR="00395FA6">
        <w:t>[2]</w:t>
      </w:r>
      <w:r w:rsidR="00395FA6">
        <w:fldChar w:fldCharType="end"/>
      </w:r>
      <w:r>
        <w:t xml:space="preserve">: The first one is that SSBs of all satellite beams in a cell are transmitted within a same frequency interval and do not overlap in time; the second one is that SSBs of a cell are transmitted in different frequency intervals within their respective BWPs. </w:t>
      </w:r>
    </w:p>
    <w:p w14:paraId="317FB18B" w14:textId="77777777" w:rsidR="00D13F00" w:rsidRDefault="00D13F00" w:rsidP="009970CC">
      <w:pPr>
        <w:jc w:val="both"/>
      </w:pPr>
    </w:p>
    <w:p w14:paraId="18F65DC4" w14:textId="1960F327" w:rsidR="004063E9" w:rsidRDefault="00D13F00" w:rsidP="009970CC">
      <w:pPr>
        <w:jc w:val="both"/>
      </w:pPr>
      <w:r>
        <w:t>The first alternative follows existing NR design. It has the advantage of smaller number of potential SSB frequencies for UE to search for, and hence reducing initial access time.</w:t>
      </w:r>
      <w:r w:rsidR="00395FA6">
        <w:t xml:space="preserve"> O</w:t>
      </w:r>
      <w:r>
        <w:t xml:space="preserve">ur preference is to take this alternative. </w:t>
      </w:r>
      <w:r w:rsidR="006D1F73">
        <w:t>Here</w:t>
      </w:r>
      <w:r>
        <w:t xml:space="preserve">, </w:t>
      </w:r>
      <w:r w:rsidR="006D1F73">
        <w:t xml:space="preserve">SSBs of all satellite beams are carried in </w:t>
      </w:r>
      <w:r>
        <w:t>a c</w:t>
      </w:r>
      <w:r w:rsidR="00926602">
        <w:t xml:space="preserve">ell-specific initial BWP. </w:t>
      </w:r>
    </w:p>
    <w:p w14:paraId="604898FD" w14:textId="77777777" w:rsidR="00926602" w:rsidRPr="004063E9" w:rsidRDefault="00926602" w:rsidP="009970CC">
      <w:pPr>
        <w:jc w:val="both"/>
      </w:pPr>
    </w:p>
    <w:p w14:paraId="775A2A72" w14:textId="091F9899" w:rsidR="006D1F73" w:rsidRDefault="004063E9" w:rsidP="009970CC">
      <w:pPr>
        <w:jc w:val="both"/>
        <w:rPr>
          <w:i/>
          <w:iCs/>
          <w:lang w:eastAsia="x-none"/>
        </w:rPr>
      </w:pPr>
      <w:r w:rsidRPr="001C381A">
        <w:rPr>
          <w:b/>
          <w:i/>
          <w:u w:val="single"/>
        </w:rPr>
        <w:t xml:space="preserve">Proposal </w:t>
      </w:r>
      <w:r w:rsidR="00EB0278">
        <w:rPr>
          <w:b/>
          <w:i/>
          <w:u w:val="single"/>
        </w:rPr>
        <w:t>2</w:t>
      </w:r>
      <w:r w:rsidRPr="001C381A">
        <w:rPr>
          <w:b/>
          <w:i/>
          <w:u w:val="single"/>
        </w:rPr>
        <w:t>:</w:t>
      </w:r>
      <w:r>
        <w:rPr>
          <w:i/>
        </w:rPr>
        <w:t xml:space="preserve"> </w:t>
      </w:r>
      <w:r w:rsidR="00926602">
        <w:rPr>
          <w:i/>
          <w:iCs/>
          <w:lang w:eastAsia="x-none"/>
        </w:rPr>
        <w:t>SSBs of all satellite beams in a cell are transmitted in a cell-specific initial BWP and SSBs do not overlap in time.</w:t>
      </w:r>
    </w:p>
    <w:p w14:paraId="253D8E03" w14:textId="77777777" w:rsidR="006D1F73" w:rsidRDefault="006D1F73" w:rsidP="009970CC">
      <w:pPr>
        <w:jc w:val="both"/>
        <w:rPr>
          <w:lang w:eastAsia="x-none"/>
        </w:rPr>
      </w:pPr>
    </w:p>
    <w:p w14:paraId="4E2071E4" w14:textId="79D668E4" w:rsidR="004544A0" w:rsidRDefault="006D1F73" w:rsidP="009970CC">
      <w:pPr>
        <w:jc w:val="both"/>
        <w:rPr>
          <w:lang w:eastAsia="x-none"/>
        </w:rPr>
      </w:pPr>
      <w:r>
        <w:rPr>
          <w:lang w:eastAsia="x-none"/>
        </w:rPr>
        <w:t xml:space="preserve">Each SSB carries MIB information, which includes a field of </w:t>
      </w:r>
      <w:r w:rsidRPr="006D1F73">
        <w:rPr>
          <w:i/>
          <w:iCs/>
          <w:lang w:eastAsia="x-none"/>
        </w:rPr>
        <w:t>pdcch-ConfigSIB1</w:t>
      </w:r>
      <w:r>
        <w:rPr>
          <w:lang w:eastAsia="x-none"/>
        </w:rPr>
        <w:t xml:space="preserve"> to configure CORESET #0 and search space #0. Like in existing NR specifications, a common configuration of </w:t>
      </w:r>
      <w:r w:rsidRPr="00395FA6">
        <w:rPr>
          <w:i/>
          <w:iCs/>
          <w:lang w:eastAsia="x-none"/>
        </w:rPr>
        <w:t>pdcch-ConfigSIB1</w:t>
      </w:r>
      <w:r>
        <w:rPr>
          <w:lang w:eastAsia="x-none"/>
        </w:rPr>
        <w:t xml:space="preserve"> among all SSBs is preferred. This implies a common SIB1</w:t>
      </w:r>
      <w:r w:rsidR="004544A0">
        <w:rPr>
          <w:lang w:eastAsia="x-none"/>
        </w:rPr>
        <w:t>,</w:t>
      </w:r>
      <w:r>
        <w:rPr>
          <w:lang w:eastAsia="x-none"/>
        </w:rPr>
        <w:t xml:space="preserve"> </w:t>
      </w:r>
      <w:r w:rsidR="004544A0">
        <w:rPr>
          <w:lang w:eastAsia="x-none"/>
        </w:rPr>
        <w:t xml:space="preserve">with the configured </w:t>
      </w:r>
      <w:r>
        <w:rPr>
          <w:lang w:eastAsia="x-none"/>
        </w:rPr>
        <w:t>CORESET #0 and search space #0</w:t>
      </w:r>
      <w:r w:rsidR="004544A0">
        <w:rPr>
          <w:lang w:eastAsia="x-none"/>
        </w:rPr>
        <w:t>,</w:t>
      </w:r>
      <w:r>
        <w:rPr>
          <w:lang w:eastAsia="x-none"/>
        </w:rPr>
        <w:t xml:space="preserve"> is used for a</w:t>
      </w:r>
      <w:r w:rsidR="004544A0">
        <w:rPr>
          <w:lang w:eastAsia="x-none"/>
        </w:rPr>
        <w:t>ll the satellite beams. Here, SIB1</w:t>
      </w:r>
      <w:r w:rsidR="00D92431">
        <w:rPr>
          <w:lang w:eastAsia="x-none"/>
        </w:rPr>
        <w:t xml:space="preserve"> contents</w:t>
      </w:r>
      <w:r w:rsidR="004544A0">
        <w:rPr>
          <w:lang w:eastAsia="x-none"/>
        </w:rPr>
        <w:t xml:space="preserve"> include the association of BWP </w:t>
      </w:r>
      <w:r w:rsidR="00395FA6">
        <w:rPr>
          <w:lang w:eastAsia="x-none"/>
        </w:rPr>
        <w:t>with</w:t>
      </w:r>
      <w:r w:rsidR="004544A0">
        <w:rPr>
          <w:lang w:eastAsia="x-none"/>
        </w:rPr>
        <w:t xml:space="preserve"> each satellite beam.</w:t>
      </w:r>
    </w:p>
    <w:p w14:paraId="56EBC48E" w14:textId="36EA75F2" w:rsidR="00EC7D21" w:rsidRPr="00EC7D21" w:rsidRDefault="00EC7D21" w:rsidP="009970CC">
      <w:pPr>
        <w:jc w:val="both"/>
        <w:rPr>
          <w:lang w:eastAsia="x-none"/>
        </w:rPr>
      </w:pPr>
    </w:p>
    <w:p w14:paraId="0664EE52" w14:textId="4B687219" w:rsidR="00ED1185" w:rsidRPr="00ED1185" w:rsidRDefault="00926602" w:rsidP="0013219E">
      <w:pPr>
        <w:jc w:val="both"/>
        <w:rPr>
          <w:i/>
          <w:iCs/>
          <w:lang w:eastAsia="x-none"/>
        </w:rPr>
      </w:pPr>
      <w:r w:rsidRPr="001C381A">
        <w:rPr>
          <w:b/>
          <w:i/>
          <w:u w:val="single"/>
        </w:rPr>
        <w:t xml:space="preserve">Proposal </w:t>
      </w:r>
      <w:r>
        <w:rPr>
          <w:b/>
          <w:i/>
          <w:u w:val="single"/>
        </w:rPr>
        <w:t>3</w:t>
      </w:r>
      <w:r w:rsidRPr="001C381A">
        <w:rPr>
          <w:b/>
          <w:i/>
          <w:u w:val="single"/>
        </w:rPr>
        <w:t>:</w:t>
      </w:r>
      <w:r>
        <w:rPr>
          <w:i/>
        </w:rPr>
        <w:t xml:space="preserve"> </w:t>
      </w:r>
      <w:r w:rsidR="00EC7D21">
        <w:rPr>
          <w:i/>
        </w:rPr>
        <w:t xml:space="preserve">All the SSBs in a cell have a common configuration of CORESET </w:t>
      </w:r>
      <w:r w:rsidR="00395FA6">
        <w:rPr>
          <w:i/>
        </w:rPr>
        <w:t>#</w:t>
      </w:r>
      <w:r w:rsidR="00EC7D21">
        <w:rPr>
          <w:i/>
        </w:rPr>
        <w:t xml:space="preserve">0 and search space </w:t>
      </w:r>
      <w:r w:rsidR="00395FA6">
        <w:rPr>
          <w:i/>
        </w:rPr>
        <w:t>#</w:t>
      </w:r>
      <w:r w:rsidR="00EC7D21">
        <w:rPr>
          <w:i/>
        </w:rPr>
        <w:t>0.</w:t>
      </w:r>
    </w:p>
    <w:p w14:paraId="0273C79A" w14:textId="7099B2D7" w:rsidR="000E7118" w:rsidRDefault="000E7118" w:rsidP="0013219E">
      <w:pPr>
        <w:jc w:val="both"/>
        <w:rPr>
          <w:iCs/>
        </w:rPr>
      </w:pPr>
    </w:p>
    <w:p w14:paraId="36F8BDB7" w14:textId="74CF843C" w:rsidR="007872EC" w:rsidRPr="00D92431" w:rsidRDefault="007872EC" w:rsidP="0013219E">
      <w:pPr>
        <w:jc w:val="both"/>
        <w:rPr>
          <w:rFonts w:eastAsia="SimSun"/>
          <w:bCs/>
          <w:iCs/>
        </w:rPr>
      </w:pPr>
      <w:r w:rsidRPr="00D92431">
        <w:rPr>
          <w:rFonts w:eastAsia="SimSun"/>
          <w:bCs/>
          <w:iCs/>
        </w:rPr>
        <w:t>The b</w:t>
      </w:r>
      <w:r w:rsidR="004E2EB8" w:rsidRPr="00D92431">
        <w:rPr>
          <w:rFonts w:eastAsia="SimSun"/>
          <w:bCs/>
          <w:iCs/>
        </w:rPr>
        <w:t>eam measurement</w:t>
      </w:r>
      <w:r w:rsidRPr="00D92431">
        <w:rPr>
          <w:rFonts w:eastAsia="SimSun"/>
          <w:bCs/>
          <w:iCs/>
        </w:rPr>
        <w:t xml:space="preserve"> in NR terrestrial network is based on SSB or CSI-RS. Since different </w:t>
      </w:r>
      <w:r w:rsidR="00395FA6" w:rsidRPr="00D92431">
        <w:rPr>
          <w:rFonts w:eastAsia="SimSun"/>
          <w:bCs/>
          <w:iCs/>
        </w:rPr>
        <w:t xml:space="preserve">satellite </w:t>
      </w:r>
      <w:r w:rsidRPr="00D92431">
        <w:rPr>
          <w:rFonts w:eastAsia="SimSun"/>
          <w:bCs/>
          <w:iCs/>
        </w:rPr>
        <w:t xml:space="preserve">beams in NTN are associated with different BWPs, BWP may be either switched or extended in order to measure CSI-RS in different beams. The former approach requires additional gap between beam measurement, while the latter approach has a large specification impact. </w:t>
      </w:r>
      <w:r w:rsidR="000436C0" w:rsidRPr="00D92431">
        <w:rPr>
          <w:rFonts w:eastAsia="SimSun"/>
          <w:bCs/>
          <w:iCs/>
        </w:rPr>
        <w:t>W</w:t>
      </w:r>
      <w:r w:rsidRPr="00D92431">
        <w:rPr>
          <w:rFonts w:eastAsia="SimSun"/>
          <w:bCs/>
          <w:iCs/>
        </w:rPr>
        <w:t xml:space="preserve">e prefer the approach for BWP switching for CSI measurement in a different beam. An alternative approach is to </w:t>
      </w:r>
      <w:r w:rsidR="000436C0" w:rsidRPr="00D92431">
        <w:rPr>
          <w:rFonts w:eastAsia="SimSun"/>
          <w:bCs/>
          <w:iCs/>
        </w:rPr>
        <w:t xml:space="preserve">make all the beam measurement </w:t>
      </w:r>
      <w:r w:rsidRPr="00D92431">
        <w:rPr>
          <w:rFonts w:eastAsia="SimSun"/>
          <w:bCs/>
          <w:iCs/>
        </w:rPr>
        <w:t>in initial BWP</w:t>
      </w:r>
      <w:r w:rsidR="000436C0" w:rsidRPr="00D92431">
        <w:rPr>
          <w:rFonts w:eastAsia="SimSun"/>
          <w:bCs/>
          <w:iCs/>
        </w:rPr>
        <w:t>, which reduces the total number of BWP switching</w:t>
      </w:r>
      <w:r w:rsidR="00D92431">
        <w:rPr>
          <w:rFonts w:eastAsia="SimSun"/>
          <w:bCs/>
          <w:iCs/>
        </w:rPr>
        <w:t xml:space="preserve"> for beam measurement</w:t>
      </w:r>
      <w:r w:rsidR="000436C0" w:rsidRPr="00D92431">
        <w:rPr>
          <w:rFonts w:eastAsia="SimSun"/>
          <w:bCs/>
          <w:iCs/>
        </w:rPr>
        <w:t xml:space="preserve">. </w:t>
      </w:r>
    </w:p>
    <w:p w14:paraId="6284F483" w14:textId="2112F9A4" w:rsidR="004E2EB8" w:rsidRDefault="004E2EB8" w:rsidP="0013219E">
      <w:pPr>
        <w:jc w:val="both"/>
        <w:rPr>
          <w:rFonts w:eastAsia="SimSun"/>
          <w:bCs/>
          <w:iCs/>
          <w:sz w:val="22"/>
          <w:szCs w:val="22"/>
        </w:rPr>
      </w:pPr>
    </w:p>
    <w:p w14:paraId="0D24C524" w14:textId="7561FDE5" w:rsidR="004E2EB8" w:rsidRDefault="004E2EB8" w:rsidP="0013219E">
      <w:pPr>
        <w:jc w:val="both"/>
        <w:rPr>
          <w:i/>
        </w:rPr>
      </w:pPr>
      <w:r w:rsidRPr="001C381A">
        <w:rPr>
          <w:b/>
          <w:i/>
          <w:u w:val="single"/>
        </w:rPr>
        <w:t xml:space="preserve">Proposal </w:t>
      </w:r>
      <w:r>
        <w:rPr>
          <w:b/>
          <w:i/>
          <w:u w:val="single"/>
        </w:rPr>
        <w:t>4</w:t>
      </w:r>
      <w:r w:rsidRPr="001C381A">
        <w:rPr>
          <w:b/>
          <w:i/>
          <w:u w:val="single"/>
        </w:rPr>
        <w:t>:</w:t>
      </w:r>
      <w:r>
        <w:rPr>
          <w:i/>
        </w:rPr>
        <w:t xml:space="preserve"> Consider</w:t>
      </w:r>
      <w:r w:rsidR="00F14FA6">
        <w:rPr>
          <w:i/>
        </w:rPr>
        <w:t xml:space="preserve"> </w:t>
      </w:r>
      <w:r w:rsidR="000436C0">
        <w:rPr>
          <w:i/>
        </w:rPr>
        <w:t>performing beam measuremen</w:t>
      </w:r>
      <w:r w:rsidR="00F14FA6">
        <w:rPr>
          <w:i/>
        </w:rPr>
        <w:t xml:space="preserve">t either in initial BWP or in different BWPs with BWP switching. </w:t>
      </w:r>
    </w:p>
    <w:p w14:paraId="108C014B" w14:textId="11C89CB5" w:rsidR="004E2EB8" w:rsidRDefault="004E2EB8" w:rsidP="0013219E">
      <w:pPr>
        <w:jc w:val="both"/>
        <w:rPr>
          <w:iCs/>
        </w:rPr>
      </w:pPr>
    </w:p>
    <w:p w14:paraId="46087B45" w14:textId="544DF9B9" w:rsidR="007872EC" w:rsidRDefault="007872EC" w:rsidP="0013219E">
      <w:pPr>
        <w:jc w:val="both"/>
        <w:rPr>
          <w:iCs/>
        </w:rPr>
      </w:pPr>
      <w:r>
        <w:rPr>
          <w:iCs/>
        </w:rPr>
        <w:t xml:space="preserve">With beam measurements and reporting, beam switching is achieved by TCI indication, e.g., via DCI or MAC CE. The association between satellite beam and BWP implies the beam switching results in BWP switching as well. Hence, efficient BWP switching can be achieved by associating it with beam switching. </w:t>
      </w:r>
    </w:p>
    <w:p w14:paraId="727D591D" w14:textId="7B8F00C8" w:rsidR="004E2EB8" w:rsidRDefault="004E2EB8" w:rsidP="0013219E">
      <w:pPr>
        <w:jc w:val="both"/>
        <w:rPr>
          <w:rFonts w:eastAsia="SimSun"/>
          <w:bCs/>
          <w:iCs/>
          <w:sz w:val="22"/>
          <w:szCs w:val="22"/>
        </w:rPr>
      </w:pPr>
    </w:p>
    <w:p w14:paraId="71AFD85B" w14:textId="28972593" w:rsidR="004E2EB8" w:rsidRDefault="004E2EB8" w:rsidP="004E2EB8">
      <w:pPr>
        <w:jc w:val="both"/>
        <w:rPr>
          <w:i/>
        </w:rPr>
      </w:pPr>
      <w:r w:rsidRPr="001C381A">
        <w:rPr>
          <w:b/>
          <w:i/>
          <w:u w:val="single"/>
        </w:rPr>
        <w:t xml:space="preserve">Proposal </w:t>
      </w:r>
      <w:r>
        <w:rPr>
          <w:b/>
          <w:i/>
          <w:u w:val="single"/>
        </w:rPr>
        <w:t>5</w:t>
      </w:r>
      <w:r w:rsidRPr="001C381A">
        <w:rPr>
          <w:b/>
          <w:i/>
          <w:u w:val="single"/>
        </w:rPr>
        <w:t>:</w:t>
      </w:r>
      <w:r>
        <w:rPr>
          <w:i/>
        </w:rPr>
        <w:t xml:space="preserve"> Consider </w:t>
      </w:r>
      <w:r w:rsidR="000436C0">
        <w:rPr>
          <w:i/>
        </w:rPr>
        <w:t>associating</w:t>
      </w:r>
      <w:r>
        <w:rPr>
          <w:i/>
        </w:rPr>
        <w:t xml:space="preserve"> beam switching with BWP switching.  </w:t>
      </w:r>
    </w:p>
    <w:p w14:paraId="381DFE41" w14:textId="77777777" w:rsidR="004E2EB8" w:rsidRPr="000E7118" w:rsidRDefault="004E2EB8" w:rsidP="0013219E">
      <w:pPr>
        <w:jc w:val="both"/>
        <w:rPr>
          <w:rFonts w:eastAsia="SimSun"/>
          <w:bCs/>
          <w:iCs/>
          <w:sz w:val="22"/>
          <w:szCs w:val="22"/>
        </w:rPr>
      </w:pPr>
    </w:p>
    <w:p w14:paraId="2896E657" w14:textId="2DF29AD0" w:rsidR="00854A60" w:rsidRPr="00A6576F" w:rsidRDefault="009C5A97" w:rsidP="00FB330B">
      <w:pPr>
        <w:pStyle w:val="Heading1"/>
      </w:pPr>
      <w:r w:rsidRPr="00A6576F">
        <w:t>Conclusion</w:t>
      </w:r>
    </w:p>
    <w:p w14:paraId="1C116919" w14:textId="24BBEF15" w:rsidR="009C0798" w:rsidRDefault="005B2938" w:rsidP="009C0798">
      <w:pPr>
        <w:jc w:val="both"/>
      </w:pPr>
      <w:r w:rsidRPr="00B704B6">
        <w:rPr>
          <w:rFonts w:eastAsia="MS Mincho"/>
          <w:lang w:eastAsia="ja-JP"/>
        </w:rPr>
        <w:t xml:space="preserve">In this contribution, we </w:t>
      </w:r>
      <w:r w:rsidR="009C0798">
        <w:rPr>
          <w:szCs w:val="20"/>
        </w:rPr>
        <w:t>provided our views on</w:t>
      </w:r>
      <w:r w:rsidR="00D92431">
        <w:rPr>
          <w:szCs w:val="20"/>
        </w:rPr>
        <w:t xml:space="preserve"> the association of</w:t>
      </w:r>
      <w:r w:rsidR="00ED1185">
        <w:rPr>
          <w:szCs w:val="20"/>
        </w:rPr>
        <w:t xml:space="preserve"> beam, BWP and SSBs in NTN</w:t>
      </w:r>
      <w:r w:rsidR="009C0798">
        <w:rPr>
          <w:szCs w:val="20"/>
        </w:rPr>
        <w:t xml:space="preserve">. </w:t>
      </w:r>
      <w:r w:rsidR="009C0798">
        <w:t xml:space="preserve">Our proposals are as follows: </w:t>
      </w:r>
    </w:p>
    <w:p w14:paraId="46532EF6" w14:textId="4C847A73" w:rsidR="00ED1185" w:rsidRDefault="00ED1185" w:rsidP="009C0798">
      <w:pPr>
        <w:jc w:val="both"/>
      </w:pPr>
    </w:p>
    <w:p w14:paraId="56C9CD1A" w14:textId="77777777" w:rsidR="009E2C51" w:rsidRPr="00D13F00" w:rsidRDefault="009E2C51" w:rsidP="009E2C51">
      <w:pPr>
        <w:jc w:val="both"/>
        <w:rPr>
          <w:i/>
        </w:rPr>
      </w:pPr>
      <w:r w:rsidRPr="001C381A">
        <w:rPr>
          <w:b/>
          <w:i/>
          <w:u w:val="single"/>
        </w:rPr>
        <w:t xml:space="preserve">Proposal </w:t>
      </w:r>
      <w:r>
        <w:rPr>
          <w:b/>
          <w:i/>
          <w:u w:val="single"/>
        </w:rPr>
        <w:t>1</w:t>
      </w:r>
      <w:r w:rsidRPr="001C381A">
        <w:rPr>
          <w:b/>
          <w:i/>
          <w:u w:val="single"/>
        </w:rPr>
        <w:t>:</w:t>
      </w:r>
      <w:r>
        <w:rPr>
          <w:i/>
        </w:rPr>
        <w:t xml:space="preserve"> Each satellite beam is associated with a BWP.</w:t>
      </w:r>
    </w:p>
    <w:p w14:paraId="115A7867" w14:textId="77777777" w:rsidR="009E2C51" w:rsidRDefault="009E2C51" w:rsidP="009C0798">
      <w:pPr>
        <w:jc w:val="both"/>
      </w:pPr>
    </w:p>
    <w:p w14:paraId="7FE4DF1A" w14:textId="77777777" w:rsidR="009E2C51" w:rsidRDefault="009E2C51" w:rsidP="009E2C51">
      <w:pPr>
        <w:jc w:val="both"/>
        <w:rPr>
          <w:i/>
          <w:iCs/>
          <w:lang w:eastAsia="x-none"/>
        </w:rPr>
      </w:pPr>
      <w:r w:rsidRPr="001C381A">
        <w:rPr>
          <w:b/>
          <w:i/>
          <w:u w:val="single"/>
        </w:rPr>
        <w:t xml:space="preserve">Proposal </w:t>
      </w:r>
      <w:r>
        <w:rPr>
          <w:b/>
          <w:i/>
          <w:u w:val="single"/>
        </w:rPr>
        <w:t>2</w:t>
      </w:r>
      <w:r w:rsidRPr="001C381A">
        <w:rPr>
          <w:b/>
          <w:i/>
          <w:u w:val="single"/>
        </w:rPr>
        <w:t>:</w:t>
      </w:r>
      <w:r>
        <w:rPr>
          <w:i/>
        </w:rPr>
        <w:t xml:space="preserve"> </w:t>
      </w:r>
      <w:r>
        <w:rPr>
          <w:i/>
          <w:iCs/>
          <w:lang w:eastAsia="x-none"/>
        </w:rPr>
        <w:t>SSBs of all satellite beams in a cell are transmitted in a cell-specific initial BWP and SSBs do not overlap in time.</w:t>
      </w:r>
    </w:p>
    <w:p w14:paraId="30113A67" w14:textId="77777777" w:rsidR="00CA253C" w:rsidRDefault="00CA253C" w:rsidP="009C0798">
      <w:pPr>
        <w:jc w:val="both"/>
      </w:pPr>
    </w:p>
    <w:p w14:paraId="5422C06B" w14:textId="77777777" w:rsidR="00395FA6" w:rsidRPr="00ED1185" w:rsidRDefault="00395FA6" w:rsidP="00395FA6">
      <w:pPr>
        <w:jc w:val="both"/>
        <w:rPr>
          <w:i/>
          <w:iCs/>
          <w:lang w:eastAsia="x-none"/>
        </w:rPr>
      </w:pPr>
      <w:r w:rsidRPr="001C381A">
        <w:rPr>
          <w:b/>
          <w:i/>
          <w:u w:val="single"/>
        </w:rPr>
        <w:lastRenderedPageBreak/>
        <w:t xml:space="preserve">Proposal </w:t>
      </w:r>
      <w:r>
        <w:rPr>
          <w:b/>
          <w:i/>
          <w:u w:val="single"/>
        </w:rPr>
        <w:t>3</w:t>
      </w:r>
      <w:r w:rsidRPr="001C381A">
        <w:rPr>
          <w:b/>
          <w:i/>
          <w:u w:val="single"/>
        </w:rPr>
        <w:t>:</w:t>
      </w:r>
      <w:r>
        <w:rPr>
          <w:i/>
        </w:rPr>
        <w:t xml:space="preserve"> All the SSBs in a cell have a common configuration of CORESET #0 and search space #0.</w:t>
      </w:r>
    </w:p>
    <w:p w14:paraId="08E5F203" w14:textId="7882223F" w:rsidR="007872EC" w:rsidRDefault="007872EC" w:rsidP="009E2C51">
      <w:pPr>
        <w:jc w:val="both"/>
        <w:rPr>
          <w:i/>
        </w:rPr>
      </w:pPr>
    </w:p>
    <w:p w14:paraId="421733F6" w14:textId="0F313D89" w:rsidR="000436C0" w:rsidRDefault="000436C0" w:rsidP="000436C0">
      <w:pPr>
        <w:jc w:val="both"/>
        <w:rPr>
          <w:i/>
        </w:rPr>
      </w:pPr>
      <w:r w:rsidRPr="001C381A">
        <w:rPr>
          <w:b/>
          <w:i/>
          <w:u w:val="single"/>
        </w:rPr>
        <w:t xml:space="preserve">Proposal </w:t>
      </w:r>
      <w:r>
        <w:rPr>
          <w:b/>
          <w:i/>
          <w:u w:val="single"/>
        </w:rPr>
        <w:t>4</w:t>
      </w:r>
      <w:r w:rsidRPr="001C381A">
        <w:rPr>
          <w:b/>
          <w:i/>
          <w:u w:val="single"/>
        </w:rPr>
        <w:t>:</w:t>
      </w:r>
      <w:r>
        <w:rPr>
          <w:i/>
        </w:rPr>
        <w:t xml:space="preserve"> Consider performing beam measurement either in initial BWP or in different BWPs with BWP switching.</w:t>
      </w:r>
    </w:p>
    <w:p w14:paraId="3368BDD4" w14:textId="77777777" w:rsidR="007872EC" w:rsidRPr="00ED1185" w:rsidRDefault="007872EC" w:rsidP="009E2C51">
      <w:pPr>
        <w:jc w:val="both"/>
        <w:rPr>
          <w:i/>
          <w:iCs/>
          <w:lang w:eastAsia="x-none"/>
        </w:rPr>
      </w:pPr>
    </w:p>
    <w:p w14:paraId="3BCC4C7E" w14:textId="165581FC" w:rsidR="003C28EC" w:rsidRDefault="007872EC" w:rsidP="007872EC">
      <w:pPr>
        <w:jc w:val="both"/>
        <w:rPr>
          <w:i/>
        </w:rPr>
      </w:pPr>
      <w:r w:rsidRPr="001C381A">
        <w:rPr>
          <w:b/>
          <w:i/>
          <w:u w:val="single"/>
        </w:rPr>
        <w:t xml:space="preserve">Proposal </w:t>
      </w:r>
      <w:r>
        <w:rPr>
          <w:b/>
          <w:i/>
          <w:u w:val="single"/>
        </w:rPr>
        <w:t>5</w:t>
      </w:r>
      <w:r w:rsidRPr="001C381A">
        <w:rPr>
          <w:b/>
          <w:i/>
          <w:u w:val="single"/>
        </w:rPr>
        <w:t>:</w:t>
      </w:r>
      <w:r>
        <w:rPr>
          <w:i/>
        </w:rPr>
        <w:t xml:space="preserve"> Consider </w:t>
      </w:r>
      <w:r w:rsidR="000436C0">
        <w:rPr>
          <w:i/>
        </w:rPr>
        <w:t>associating</w:t>
      </w:r>
      <w:r>
        <w:rPr>
          <w:i/>
        </w:rPr>
        <w:t xml:space="preserve"> beam switching with BWP switching.  </w:t>
      </w:r>
    </w:p>
    <w:p w14:paraId="247837F8" w14:textId="77777777" w:rsidR="007872EC" w:rsidRPr="007872EC" w:rsidRDefault="007872EC" w:rsidP="007872EC">
      <w:pPr>
        <w:jc w:val="both"/>
        <w:rPr>
          <w:i/>
        </w:rPr>
      </w:pPr>
    </w:p>
    <w:p w14:paraId="2E75F001" w14:textId="77777777" w:rsidR="007E70BB" w:rsidRPr="00A6576F" w:rsidRDefault="005C63AE" w:rsidP="007E70BB">
      <w:pPr>
        <w:pStyle w:val="Heading1"/>
      </w:pPr>
      <w:r w:rsidRPr="00A6576F">
        <w:t>References</w:t>
      </w:r>
    </w:p>
    <w:p w14:paraId="612EEDA3" w14:textId="77777777" w:rsidR="0099637F" w:rsidRDefault="0099637F" w:rsidP="0099637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46861923"/>
      <w:bookmarkStart w:id="1" w:name="_Ref46758011"/>
      <w:bookmarkStart w:id="2" w:name="_Ref30519541"/>
      <w:bookmarkStart w:id="3" w:name="_Ref46861948"/>
      <w:bookmarkStart w:id="4" w:name="_Ref30499280"/>
      <w:r>
        <w:t>RP-201256, Solutions for NR to support non-terrestrial networks (NTN), Jun. 2020.</w:t>
      </w:r>
      <w:bookmarkEnd w:id="0"/>
      <w:r>
        <w:t xml:space="preserve"> </w:t>
      </w:r>
    </w:p>
    <w:p w14:paraId="605F6B97" w14:textId="5FA0E964" w:rsidR="0099637F" w:rsidRDefault="0099637F" w:rsidP="0099637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49784839"/>
      <w:bookmarkEnd w:id="1"/>
      <w:r>
        <w:t>R1-2007</w:t>
      </w:r>
      <w:r w:rsidR="00D77029">
        <w:t>233</w:t>
      </w:r>
      <w:r w:rsidRPr="006609D4">
        <w:t>, “</w:t>
      </w:r>
      <w:r w:rsidRPr="006609D4">
        <w:rPr>
          <w:rFonts w:cs="Arial"/>
        </w:rPr>
        <w:t>Summary#</w:t>
      </w:r>
      <w:r w:rsidR="00D77029" w:rsidRPr="006609D4">
        <w:rPr>
          <w:rFonts w:cs="Arial"/>
        </w:rPr>
        <w:t>4</w:t>
      </w:r>
      <w:r w:rsidRPr="006609D4">
        <w:rPr>
          <w:rFonts w:cs="Arial"/>
        </w:rPr>
        <w:t xml:space="preserve"> of 8.4.</w:t>
      </w:r>
      <w:r w:rsidR="00D77029" w:rsidRPr="006609D4">
        <w:rPr>
          <w:rFonts w:cs="Arial"/>
        </w:rPr>
        <w:t>4</w:t>
      </w:r>
      <w:r w:rsidRPr="006609D4">
        <w:rPr>
          <w:rFonts w:cs="Arial"/>
        </w:rPr>
        <w:t xml:space="preserve"> </w:t>
      </w:r>
      <w:r w:rsidR="00D77029" w:rsidRPr="006609D4">
        <w:rPr>
          <w:rFonts w:cs="Arial"/>
        </w:rPr>
        <w:t>Other aspects of NR-NTN</w:t>
      </w:r>
      <w:r w:rsidRPr="006609D4">
        <w:t>,” Aug. 2020.</w:t>
      </w:r>
      <w:bookmarkEnd w:id="5"/>
      <w:r>
        <w:t xml:space="preserve">  </w:t>
      </w:r>
    </w:p>
    <w:p w14:paraId="2CF06167" w14:textId="544D823A" w:rsidR="0099637F" w:rsidRDefault="0099637F" w:rsidP="009A153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49784738"/>
      <w:r>
        <w:t>Chairman’s Notes, 3GPP TSG RAN1 WG1 #10</w:t>
      </w:r>
      <w:r w:rsidR="00EC086D">
        <w:t>2</w:t>
      </w:r>
      <w:r>
        <w:t>-e Meeting, Aug. 2020.</w:t>
      </w:r>
      <w:bookmarkEnd w:id="2"/>
      <w:bookmarkEnd w:id="3"/>
      <w:bookmarkEnd w:id="4"/>
      <w:bookmarkEnd w:id="6"/>
    </w:p>
    <w:sectPr w:rsidR="0099637F"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8FFDA7" w14:textId="77777777" w:rsidR="00C9735B" w:rsidRDefault="00C9735B">
      <w:r>
        <w:separator/>
      </w:r>
    </w:p>
  </w:endnote>
  <w:endnote w:type="continuationSeparator" w:id="0">
    <w:p w14:paraId="0C18F07B" w14:textId="77777777" w:rsidR="00C9735B" w:rsidRDefault="00C9735B">
      <w:r>
        <w:continuationSeparator/>
      </w:r>
    </w:p>
  </w:endnote>
  <w:endnote w:type="continuationNotice" w:id="1">
    <w:p w14:paraId="0C162D60" w14:textId="77777777" w:rsidR="00C9735B" w:rsidRDefault="00C973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2E5011" w14:textId="77777777" w:rsidR="00C9735B" w:rsidRDefault="00C9735B">
      <w:r>
        <w:separator/>
      </w:r>
    </w:p>
  </w:footnote>
  <w:footnote w:type="continuationSeparator" w:id="0">
    <w:p w14:paraId="47758648" w14:textId="77777777" w:rsidR="00C9735B" w:rsidRDefault="00C9735B">
      <w:r>
        <w:continuationSeparator/>
      </w:r>
    </w:p>
  </w:footnote>
  <w:footnote w:type="continuationNotice" w:id="1">
    <w:p w14:paraId="4C078E24" w14:textId="77777777" w:rsidR="00C9735B" w:rsidRDefault="00C973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1"/>
  </w:num>
  <w:num w:numId="4">
    <w:abstractNumId w:val="12"/>
  </w:num>
  <w:num w:numId="5">
    <w:abstractNumId w:val="8"/>
  </w:num>
  <w:num w:numId="6">
    <w:abstractNumId w:val="14"/>
  </w:num>
  <w:num w:numId="7">
    <w:abstractNumId w:val="20"/>
  </w:num>
  <w:num w:numId="8">
    <w:abstractNumId w:val="9"/>
  </w:num>
  <w:num w:numId="9">
    <w:abstractNumId w:val="17"/>
  </w:num>
  <w:num w:numId="10">
    <w:abstractNumId w:val="0"/>
  </w:num>
  <w:num w:numId="11">
    <w:abstractNumId w:val="22"/>
  </w:num>
  <w:num w:numId="12">
    <w:abstractNumId w:val="3"/>
  </w:num>
  <w:num w:numId="13">
    <w:abstractNumId w:val="19"/>
  </w:num>
  <w:num w:numId="14">
    <w:abstractNumId w:val="13"/>
  </w:num>
  <w:num w:numId="15">
    <w:abstractNumId w:val="23"/>
  </w:num>
  <w:num w:numId="16">
    <w:abstractNumId w:val="24"/>
  </w:num>
  <w:num w:numId="17">
    <w:abstractNumId w:val="7"/>
  </w:num>
  <w:num w:numId="18">
    <w:abstractNumId w:val="21"/>
  </w:num>
  <w:num w:numId="19">
    <w:abstractNumId w:val="10"/>
  </w:num>
  <w:num w:numId="20">
    <w:abstractNumId w:val="6"/>
  </w:num>
  <w:num w:numId="21">
    <w:abstractNumId w:val="18"/>
  </w:num>
  <w:num w:numId="22">
    <w:abstractNumId w:val="4"/>
  </w:num>
  <w:num w:numId="23">
    <w:abstractNumId w:val="16"/>
  </w:num>
  <w:num w:numId="24">
    <w:abstractNumId w:val="5"/>
  </w:num>
  <w:num w:numId="25">
    <w:abstractNumId w:val="16"/>
  </w:num>
  <w:num w:numId="2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36C0"/>
    <w:rsid w:val="000444EF"/>
    <w:rsid w:val="00044942"/>
    <w:rsid w:val="00044BF7"/>
    <w:rsid w:val="00045523"/>
    <w:rsid w:val="00045EB6"/>
    <w:rsid w:val="000460EB"/>
    <w:rsid w:val="000468D3"/>
    <w:rsid w:val="00046F1C"/>
    <w:rsid w:val="00047568"/>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0CEF"/>
    <w:rsid w:val="000819CF"/>
    <w:rsid w:val="00081AE6"/>
    <w:rsid w:val="00081DAA"/>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B78"/>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1BB"/>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118"/>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5E39"/>
    <w:rsid w:val="000F63FD"/>
    <w:rsid w:val="000F6DF3"/>
    <w:rsid w:val="000F75D8"/>
    <w:rsid w:val="001002DA"/>
    <w:rsid w:val="001005FF"/>
    <w:rsid w:val="00100D9C"/>
    <w:rsid w:val="001012B0"/>
    <w:rsid w:val="00102304"/>
    <w:rsid w:val="0010434A"/>
    <w:rsid w:val="001045CC"/>
    <w:rsid w:val="00104D81"/>
    <w:rsid w:val="00104FC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626"/>
    <w:rsid w:val="00130B6B"/>
    <w:rsid w:val="00130D0E"/>
    <w:rsid w:val="00131A54"/>
    <w:rsid w:val="00131E55"/>
    <w:rsid w:val="0013216D"/>
    <w:rsid w:val="0013219E"/>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4B19"/>
    <w:rsid w:val="001C5118"/>
    <w:rsid w:val="001C5574"/>
    <w:rsid w:val="001C5726"/>
    <w:rsid w:val="001C6495"/>
    <w:rsid w:val="001C7019"/>
    <w:rsid w:val="001C7241"/>
    <w:rsid w:val="001C72C0"/>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849"/>
    <w:rsid w:val="002B6CA5"/>
    <w:rsid w:val="002B73E3"/>
    <w:rsid w:val="002B7E95"/>
    <w:rsid w:val="002C02EA"/>
    <w:rsid w:val="002C056C"/>
    <w:rsid w:val="002C087A"/>
    <w:rsid w:val="002C0960"/>
    <w:rsid w:val="002C1AAA"/>
    <w:rsid w:val="002C2156"/>
    <w:rsid w:val="002C2322"/>
    <w:rsid w:val="002C28C9"/>
    <w:rsid w:val="002C2B77"/>
    <w:rsid w:val="002C358A"/>
    <w:rsid w:val="002C3947"/>
    <w:rsid w:val="002C3A69"/>
    <w:rsid w:val="002C3C7A"/>
    <w:rsid w:val="002C3D9E"/>
    <w:rsid w:val="002C41E6"/>
    <w:rsid w:val="002C476C"/>
    <w:rsid w:val="002C50A5"/>
    <w:rsid w:val="002C59CB"/>
    <w:rsid w:val="002C7630"/>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09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6FF4"/>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5FA6"/>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41E"/>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0F6E"/>
    <w:rsid w:val="00441475"/>
    <w:rsid w:val="004414EF"/>
    <w:rsid w:val="004418DE"/>
    <w:rsid w:val="00441A92"/>
    <w:rsid w:val="004424BC"/>
    <w:rsid w:val="00442B6F"/>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4A0"/>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B7DF8"/>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0F07"/>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EB8"/>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5423"/>
    <w:rsid w:val="00505CEC"/>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197"/>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018"/>
    <w:rsid w:val="0058798C"/>
    <w:rsid w:val="005900FA"/>
    <w:rsid w:val="005901CF"/>
    <w:rsid w:val="0059035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F97"/>
    <w:rsid w:val="005A4EE2"/>
    <w:rsid w:val="005A519F"/>
    <w:rsid w:val="005A571B"/>
    <w:rsid w:val="005A6354"/>
    <w:rsid w:val="005A64F1"/>
    <w:rsid w:val="005A662D"/>
    <w:rsid w:val="005A703E"/>
    <w:rsid w:val="005A74A1"/>
    <w:rsid w:val="005B17CD"/>
    <w:rsid w:val="005B1A6F"/>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CA7"/>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62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37C54"/>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09D4"/>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1F73"/>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2E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5AA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6602"/>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37F"/>
    <w:rsid w:val="00996B44"/>
    <w:rsid w:val="00996D62"/>
    <w:rsid w:val="00996ED7"/>
    <w:rsid w:val="009970CC"/>
    <w:rsid w:val="009970DD"/>
    <w:rsid w:val="009977B1"/>
    <w:rsid w:val="00997ADB"/>
    <w:rsid w:val="00997BF9"/>
    <w:rsid w:val="009A0442"/>
    <w:rsid w:val="009A0927"/>
    <w:rsid w:val="009A0FBA"/>
    <w:rsid w:val="009A13E6"/>
    <w:rsid w:val="009A153C"/>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7A1"/>
    <w:rsid w:val="009B4DF4"/>
    <w:rsid w:val="009B511E"/>
    <w:rsid w:val="009B5283"/>
    <w:rsid w:val="009B535B"/>
    <w:rsid w:val="009B564E"/>
    <w:rsid w:val="009B5B37"/>
    <w:rsid w:val="009B655E"/>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2C51"/>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EBF"/>
    <w:rsid w:val="00A17F63"/>
    <w:rsid w:val="00A20373"/>
    <w:rsid w:val="00A20379"/>
    <w:rsid w:val="00A20E07"/>
    <w:rsid w:val="00A21369"/>
    <w:rsid w:val="00A2193B"/>
    <w:rsid w:val="00A220C5"/>
    <w:rsid w:val="00A2279A"/>
    <w:rsid w:val="00A23156"/>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95C"/>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1FA"/>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606"/>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7B9"/>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540"/>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35B"/>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40BE"/>
    <w:rsid w:val="00CA4300"/>
    <w:rsid w:val="00CA44F4"/>
    <w:rsid w:val="00CA5093"/>
    <w:rsid w:val="00CA5F74"/>
    <w:rsid w:val="00CA62A6"/>
    <w:rsid w:val="00CA6A40"/>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6881"/>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031"/>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3F00"/>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4BF5"/>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2D9"/>
    <w:rsid w:val="00D73427"/>
    <w:rsid w:val="00D73A16"/>
    <w:rsid w:val="00D74277"/>
    <w:rsid w:val="00D74AEC"/>
    <w:rsid w:val="00D75936"/>
    <w:rsid w:val="00D77029"/>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431"/>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20"/>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11"/>
    <w:rsid w:val="00E32EB8"/>
    <w:rsid w:val="00E33156"/>
    <w:rsid w:val="00E33CDD"/>
    <w:rsid w:val="00E34188"/>
    <w:rsid w:val="00E345CD"/>
    <w:rsid w:val="00E34B6E"/>
    <w:rsid w:val="00E35559"/>
    <w:rsid w:val="00E359C0"/>
    <w:rsid w:val="00E35EF6"/>
    <w:rsid w:val="00E3663D"/>
    <w:rsid w:val="00E367E8"/>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739"/>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D8F"/>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278"/>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86D"/>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C7D21"/>
    <w:rsid w:val="00ED0158"/>
    <w:rsid w:val="00ED01F1"/>
    <w:rsid w:val="00ED1006"/>
    <w:rsid w:val="00ED1185"/>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4ADF"/>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FA6"/>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2DA"/>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0FE5"/>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497</TotalTime>
  <Pages>3</Pages>
  <Words>812</Words>
  <Characters>4632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44</cp:revision>
  <cp:lastPrinted>2020-01-28T01:17:00Z</cp:lastPrinted>
  <dcterms:created xsi:type="dcterms:W3CDTF">2019-09-23T20:25:00Z</dcterms:created>
  <dcterms:modified xsi:type="dcterms:W3CDTF">2020-10-16T04:19:00Z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